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181" w:rsidRPr="00E46418" w:rsidRDefault="00DD3BBF">
      <w:pPr>
        <w:spacing w:after="162" w:line="259" w:lineRule="auto"/>
        <w:ind w:left="703" w:firstLine="0"/>
        <w:jc w:val="center"/>
        <w:rPr>
          <w:b/>
          <w:color w:val="000000" w:themeColor="text1"/>
        </w:rPr>
      </w:pPr>
      <w:r w:rsidRPr="00E46418">
        <w:rPr>
          <w:b/>
          <w:color w:val="000000" w:themeColor="text1"/>
          <w:u w:val="single" w:color="000000"/>
        </w:rPr>
        <w:t>MANIFIESTO 25 DE NOVIEMBRE DE 2023</w:t>
      </w:r>
      <w:r w:rsidRPr="00E46418">
        <w:rPr>
          <w:b/>
          <w:color w:val="000000" w:themeColor="text1"/>
        </w:rPr>
        <w:t xml:space="preserve"> </w:t>
      </w:r>
    </w:p>
    <w:p w:rsidR="00C64181" w:rsidRPr="00E46418" w:rsidRDefault="00DD3BBF">
      <w:pPr>
        <w:spacing w:after="175" w:line="259" w:lineRule="auto"/>
        <w:ind w:right="9" w:firstLine="0"/>
        <w:jc w:val="center"/>
        <w:rPr>
          <w:b/>
          <w:color w:val="000000" w:themeColor="text1"/>
        </w:rPr>
      </w:pPr>
      <w:r w:rsidRPr="00E46418">
        <w:rPr>
          <w:b/>
          <w:i/>
          <w:color w:val="000000" w:themeColor="text1"/>
        </w:rPr>
        <w:t xml:space="preserve">Día Internacional para la Eliminación de la Violencia contra las Mujeres </w:t>
      </w:r>
    </w:p>
    <w:p w:rsidR="00C64181" w:rsidRPr="00E46418" w:rsidRDefault="00DD3BBF">
      <w:pPr>
        <w:spacing w:after="284" w:line="259" w:lineRule="auto"/>
        <w:ind w:firstLine="0"/>
        <w:jc w:val="left"/>
        <w:rPr>
          <w:color w:val="000000" w:themeColor="text1"/>
        </w:rPr>
      </w:pPr>
      <w:r w:rsidRPr="00E46418">
        <w:rPr>
          <w:color w:val="000000" w:themeColor="text1"/>
        </w:rPr>
        <w:t xml:space="preserve"> </w:t>
      </w:r>
      <w:r w:rsidRPr="00E46418">
        <w:rPr>
          <w:color w:val="000000" w:themeColor="text1"/>
        </w:rPr>
        <w:tab/>
        <w:t xml:space="preserve"> </w:t>
      </w:r>
      <w:r w:rsidRPr="00E46418">
        <w:rPr>
          <w:color w:val="000000" w:themeColor="text1"/>
        </w:rPr>
        <w:tab/>
        <w:t xml:space="preserve"> </w:t>
      </w:r>
      <w:r w:rsidRPr="00E46418">
        <w:rPr>
          <w:color w:val="000000" w:themeColor="text1"/>
        </w:rPr>
        <w:tab/>
        <w:t xml:space="preserve"> </w:t>
      </w:r>
      <w:r w:rsidRPr="00E46418">
        <w:rPr>
          <w:color w:val="000000" w:themeColor="text1"/>
        </w:rPr>
        <w:tab/>
        <w:t xml:space="preserve"> </w:t>
      </w:r>
    </w:p>
    <w:p w:rsidR="00C64181" w:rsidRPr="00E46418" w:rsidRDefault="004E3621">
      <w:pPr>
        <w:spacing w:after="272"/>
        <w:ind w:left="-15" w:right="-3"/>
        <w:rPr>
          <w:color w:val="000000" w:themeColor="text1"/>
        </w:rPr>
      </w:pPr>
      <w:r w:rsidRPr="00E46418">
        <w:rPr>
          <w:color w:val="000000" w:themeColor="text1"/>
        </w:rPr>
        <w:t>La ONU</w:t>
      </w:r>
      <w:r w:rsidR="001E0657" w:rsidRPr="00E46418">
        <w:rPr>
          <w:color w:val="000000" w:themeColor="text1"/>
        </w:rPr>
        <w:t xml:space="preserve"> designó</w:t>
      </w:r>
      <w:r w:rsidR="005C30C8" w:rsidRPr="00E46418">
        <w:rPr>
          <w:color w:val="000000" w:themeColor="text1"/>
        </w:rPr>
        <w:t xml:space="preserve"> el 25 de noviembre</w:t>
      </w:r>
      <w:r w:rsidR="00164161" w:rsidRPr="00E46418">
        <w:rPr>
          <w:color w:val="000000" w:themeColor="text1"/>
        </w:rPr>
        <w:t xml:space="preserve"> del año </w:t>
      </w:r>
      <w:r w:rsidRPr="00E46418">
        <w:rPr>
          <w:color w:val="000000" w:themeColor="text1"/>
        </w:rPr>
        <w:t>2000, Día</w:t>
      </w:r>
      <w:r w:rsidR="00DD3BBF" w:rsidRPr="00E46418">
        <w:rPr>
          <w:i/>
          <w:color w:val="000000" w:themeColor="text1"/>
        </w:rPr>
        <w:t xml:space="preserve"> Internacional de la Eliminación de la Violencia contra la Mujer</w:t>
      </w:r>
      <w:r w:rsidR="00473DDC" w:rsidRPr="00E46418">
        <w:rPr>
          <w:color w:val="000000" w:themeColor="text1"/>
        </w:rPr>
        <w:t>, e invitó</w:t>
      </w:r>
      <w:r w:rsidR="00DD3BBF" w:rsidRPr="00E46418">
        <w:rPr>
          <w:color w:val="000000" w:themeColor="text1"/>
        </w:rPr>
        <w:t xml:space="preserve"> a gobiernos, organizaciones internacionales y ONG a </w:t>
      </w:r>
      <w:r w:rsidRPr="00E46418">
        <w:rPr>
          <w:color w:val="000000" w:themeColor="text1"/>
        </w:rPr>
        <w:t>realizar actividades</w:t>
      </w:r>
      <w:r w:rsidR="00DD3BBF" w:rsidRPr="00E46418">
        <w:rPr>
          <w:color w:val="000000" w:themeColor="text1"/>
        </w:rPr>
        <w:t xml:space="preserve"> todos los años sobre esta fecha </w:t>
      </w:r>
      <w:r w:rsidRPr="00E46418">
        <w:rPr>
          <w:color w:val="000000" w:themeColor="text1"/>
        </w:rPr>
        <w:t>para elevar la</w:t>
      </w:r>
      <w:r w:rsidR="00473DDC" w:rsidRPr="00E46418">
        <w:rPr>
          <w:color w:val="000000" w:themeColor="text1"/>
        </w:rPr>
        <w:t xml:space="preserve"> conciencia social. Sin embargo,</w:t>
      </w:r>
      <w:r w:rsidR="00DD3BBF" w:rsidRPr="00E46418">
        <w:rPr>
          <w:color w:val="000000" w:themeColor="text1"/>
        </w:rPr>
        <w:t xml:space="preserve"> a nivel global</w:t>
      </w:r>
      <w:r w:rsidR="004C08B4" w:rsidRPr="00E46418">
        <w:rPr>
          <w:color w:val="000000" w:themeColor="text1"/>
        </w:rPr>
        <w:t>,</w:t>
      </w:r>
      <w:r w:rsidR="00DD3BBF" w:rsidRPr="00E46418">
        <w:rPr>
          <w:color w:val="000000" w:themeColor="text1"/>
        </w:rPr>
        <w:t xml:space="preserve"> </w:t>
      </w:r>
      <w:r w:rsidR="004C08B4" w:rsidRPr="00E46418">
        <w:rPr>
          <w:color w:val="000000" w:themeColor="text1"/>
        </w:rPr>
        <w:t>todavía hay</w:t>
      </w:r>
      <w:r w:rsidR="00686EF2" w:rsidRPr="00E46418">
        <w:rPr>
          <w:color w:val="000000" w:themeColor="text1"/>
        </w:rPr>
        <w:t xml:space="preserve"> </w:t>
      </w:r>
      <w:r w:rsidR="00DD3BBF" w:rsidRPr="00E46418">
        <w:rPr>
          <w:color w:val="000000" w:themeColor="text1"/>
        </w:rPr>
        <w:t>49 estados</w:t>
      </w:r>
      <w:r w:rsidR="00CC39F2" w:rsidRPr="00E46418">
        <w:rPr>
          <w:color w:val="000000" w:themeColor="text1"/>
        </w:rPr>
        <w:t xml:space="preserve"> donde</w:t>
      </w:r>
      <w:r w:rsidR="00DD3BBF" w:rsidRPr="00E46418">
        <w:rPr>
          <w:color w:val="000000" w:themeColor="text1"/>
        </w:rPr>
        <w:t xml:space="preserve"> no existe legislación que proteja a las mujeres de la violencia </w:t>
      </w:r>
      <w:r w:rsidR="00CC39F2" w:rsidRPr="00E46418">
        <w:rPr>
          <w:color w:val="000000" w:themeColor="text1"/>
        </w:rPr>
        <w:t>de género</w:t>
      </w:r>
      <w:r w:rsidR="00DD3BBF" w:rsidRPr="00E46418">
        <w:rPr>
          <w:color w:val="000000" w:themeColor="text1"/>
        </w:rPr>
        <w:t xml:space="preserve">. </w:t>
      </w:r>
    </w:p>
    <w:p w:rsidR="00C64181" w:rsidRPr="00E46418" w:rsidRDefault="00DF72C8">
      <w:pPr>
        <w:spacing w:after="271"/>
        <w:ind w:left="-15" w:right="-3"/>
        <w:rPr>
          <w:color w:val="000000" w:themeColor="text1"/>
        </w:rPr>
      </w:pPr>
      <w:r w:rsidRPr="00E46418">
        <w:rPr>
          <w:color w:val="000000" w:themeColor="text1"/>
        </w:rPr>
        <w:t>Según información de la Secretaría</w:t>
      </w:r>
      <w:r w:rsidR="00CC39F2" w:rsidRPr="00E46418">
        <w:rPr>
          <w:color w:val="000000" w:themeColor="text1"/>
        </w:rPr>
        <w:t xml:space="preserve"> General</w:t>
      </w:r>
      <w:r w:rsidRPr="00E46418">
        <w:rPr>
          <w:color w:val="000000" w:themeColor="text1"/>
        </w:rPr>
        <w:t xml:space="preserve"> de la ONU</w:t>
      </w:r>
      <w:r w:rsidR="004C08B4" w:rsidRPr="00E46418">
        <w:rPr>
          <w:color w:val="000000" w:themeColor="text1"/>
        </w:rPr>
        <w:t>, cada once minutos</w:t>
      </w:r>
      <w:r w:rsidR="00DD3BBF" w:rsidRPr="00E46418">
        <w:rPr>
          <w:color w:val="000000" w:themeColor="text1"/>
        </w:rPr>
        <w:t xml:space="preserve"> </w:t>
      </w:r>
      <w:r w:rsidR="006973D4" w:rsidRPr="00E46418">
        <w:rPr>
          <w:color w:val="000000" w:themeColor="text1"/>
        </w:rPr>
        <w:t xml:space="preserve">es </w:t>
      </w:r>
      <w:r w:rsidR="00280F98" w:rsidRPr="00E46418">
        <w:rPr>
          <w:color w:val="000000" w:themeColor="text1"/>
        </w:rPr>
        <w:t xml:space="preserve">asesinada </w:t>
      </w:r>
      <w:r w:rsidR="00DD3BBF" w:rsidRPr="00E46418">
        <w:rPr>
          <w:color w:val="000000" w:themeColor="text1"/>
        </w:rPr>
        <w:t xml:space="preserve">una mujer o niña a manos de su pareja o algún miembro de su familia, y sabemos que otras crisis, desde la pandemia hasta las perturbaciones económicas, no hacen más que aumentar las agresiones físicas y verbales.  </w:t>
      </w:r>
    </w:p>
    <w:p w:rsidR="00C64181" w:rsidRPr="00E46418" w:rsidRDefault="00DD3BBF">
      <w:pPr>
        <w:spacing w:after="271"/>
        <w:ind w:left="-15" w:right="-3"/>
        <w:rPr>
          <w:color w:val="000000" w:themeColor="text1"/>
        </w:rPr>
      </w:pPr>
      <w:r w:rsidRPr="00E46418">
        <w:rPr>
          <w:color w:val="000000" w:themeColor="text1"/>
        </w:rPr>
        <w:t xml:space="preserve">Las mujeres y las niñas también son objeto de la violencia </w:t>
      </w:r>
      <w:r w:rsidR="002D1527" w:rsidRPr="00E46418">
        <w:rPr>
          <w:color w:val="000000" w:themeColor="text1"/>
        </w:rPr>
        <w:t xml:space="preserve">en Internet, </w:t>
      </w:r>
      <w:r w:rsidR="003C5EFF" w:rsidRPr="00E46418">
        <w:rPr>
          <w:color w:val="000000" w:themeColor="text1"/>
        </w:rPr>
        <w:t>d</w:t>
      </w:r>
      <w:r w:rsidRPr="00E46418">
        <w:rPr>
          <w:color w:val="000000" w:themeColor="text1"/>
        </w:rPr>
        <w:t xml:space="preserve">el </w:t>
      </w:r>
      <w:r w:rsidR="003C5EFF" w:rsidRPr="00E46418">
        <w:rPr>
          <w:color w:val="000000" w:themeColor="text1"/>
        </w:rPr>
        <w:t xml:space="preserve">discurso de odio misógino, </w:t>
      </w:r>
      <w:r w:rsidR="007B05C8" w:rsidRPr="00E46418">
        <w:rPr>
          <w:color w:val="000000" w:themeColor="text1"/>
        </w:rPr>
        <w:t>el acoso sexual</w:t>
      </w:r>
      <w:r w:rsidRPr="00E46418">
        <w:rPr>
          <w:color w:val="000000" w:themeColor="text1"/>
        </w:rPr>
        <w:t>, la pornografía de venganza y la c</w:t>
      </w:r>
      <w:r w:rsidR="003C5EFF" w:rsidRPr="00E46418">
        <w:rPr>
          <w:color w:val="000000" w:themeColor="text1"/>
        </w:rPr>
        <w:t>oerción sexual por depredadores</w:t>
      </w:r>
      <w:r w:rsidR="009B4C92" w:rsidRPr="00E46418">
        <w:rPr>
          <w:color w:val="000000" w:themeColor="text1"/>
        </w:rPr>
        <w:t>.</w:t>
      </w:r>
      <w:r w:rsidRPr="00E46418">
        <w:rPr>
          <w:color w:val="000000" w:themeColor="text1"/>
        </w:rPr>
        <w:t xml:space="preserve"> </w:t>
      </w:r>
    </w:p>
    <w:p w:rsidR="00C64181" w:rsidRPr="00E46418" w:rsidRDefault="00DD3BBF">
      <w:pPr>
        <w:ind w:left="-15" w:right="-3"/>
        <w:rPr>
          <w:color w:val="000000" w:themeColor="text1"/>
        </w:rPr>
      </w:pPr>
      <w:r w:rsidRPr="00E46418">
        <w:rPr>
          <w:color w:val="000000" w:themeColor="text1"/>
        </w:rPr>
        <w:t>En nuestro país, todaví</w:t>
      </w:r>
      <w:r w:rsidR="002D1527" w:rsidRPr="00E46418">
        <w:rPr>
          <w:color w:val="000000" w:themeColor="text1"/>
        </w:rPr>
        <w:t xml:space="preserve">a no ha finalizado el año y </w:t>
      </w:r>
      <w:r w:rsidR="009517E8" w:rsidRPr="00E46418">
        <w:rPr>
          <w:color w:val="000000" w:themeColor="text1"/>
        </w:rPr>
        <w:t xml:space="preserve">ya hemos </w:t>
      </w:r>
      <w:r w:rsidR="00465A56">
        <w:rPr>
          <w:color w:val="000000" w:themeColor="text1"/>
        </w:rPr>
        <w:t xml:space="preserve">superado </w:t>
      </w:r>
      <w:r w:rsidRPr="00E46418">
        <w:rPr>
          <w:color w:val="000000" w:themeColor="text1"/>
        </w:rPr>
        <w:t xml:space="preserve"> la cifra de mujeres asesinadas por violencia de </w:t>
      </w:r>
      <w:r w:rsidR="009517E8" w:rsidRPr="00E46418">
        <w:rPr>
          <w:color w:val="000000" w:themeColor="text1"/>
        </w:rPr>
        <w:t>género respecto al anterior</w:t>
      </w:r>
      <w:r w:rsidRPr="00E46418">
        <w:rPr>
          <w:color w:val="000000" w:themeColor="text1"/>
        </w:rPr>
        <w:t xml:space="preserve">. Alerta la Fiscalía </w:t>
      </w:r>
      <w:r w:rsidR="00F67D28" w:rsidRPr="00E46418">
        <w:rPr>
          <w:color w:val="000000" w:themeColor="text1"/>
        </w:rPr>
        <w:t xml:space="preserve">General del Estado </w:t>
      </w:r>
      <w:r w:rsidRPr="00E46418">
        <w:rPr>
          <w:color w:val="000000" w:themeColor="text1"/>
        </w:rPr>
        <w:t>del ascenso del número de v</w:t>
      </w:r>
      <w:r w:rsidR="00F67D28" w:rsidRPr="00E46418">
        <w:rPr>
          <w:color w:val="000000" w:themeColor="text1"/>
        </w:rPr>
        <w:t>íctimas</w:t>
      </w:r>
      <w:r w:rsidRPr="00E46418">
        <w:rPr>
          <w:color w:val="000000" w:themeColor="text1"/>
        </w:rPr>
        <w:t>, 50 mujeres</w:t>
      </w:r>
      <w:r w:rsidR="00F67D28" w:rsidRPr="00E46418">
        <w:rPr>
          <w:color w:val="000000" w:themeColor="text1"/>
        </w:rPr>
        <w:t xml:space="preserve"> en 2022</w:t>
      </w:r>
      <w:r w:rsidRPr="00E46418">
        <w:rPr>
          <w:color w:val="000000" w:themeColor="text1"/>
        </w:rPr>
        <w:t xml:space="preserve">, de los que 12 </w:t>
      </w:r>
      <w:r w:rsidR="00E64FF0" w:rsidRPr="00E46418">
        <w:rPr>
          <w:color w:val="000000" w:themeColor="text1"/>
        </w:rPr>
        <w:t xml:space="preserve">asesinatos </w:t>
      </w:r>
      <w:r w:rsidRPr="00E46418">
        <w:rPr>
          <w:color w:val="000000" w:themeColor="text1"/>
        </w:rPr>
        <w:t xml:space="preserve">ocurrieron en el mes de diciembre, como presagio de un fatídico año 2023 para las mujeres de nuestro país con </w:t>
      </w:r>
      <w:r w:rsidR="00ED5CC4" w:rsidRPr="00465A56">
        <w:rPr>
          <w:color w:val="000000" w:themeColor="text1"/>
        </w:rPr>
        <w:t>5</w:t>
      </w:r>
      <w:r w:rsidR="00465A56" w:rsidRPr="00465A56">
        <w:rPr>
          <w:color w:val="000000" w:themeColor="text1"/>
        </w:rPr>
        <w:t>2</w:t>
      </w:r>
      <w:r w:rsidR="00465A56">
        <w:rPr>
          <w:color w:val="000000" w:themeColor="text1"/>
        </w:rPr>
        <w:t>*</w:t>
      </w:r>
      <w:r w:rsidRPr="00465A56">
        <w:rPr>
          <w:color w:val="000000" w:themeColor="text1"/>
        </w:rPr>
        <w:t xml:space="preserve"> asesinatos y </w:t>
      </w:r>
      <w:r w:rsidR="00465A56" w:rsidRPr="00465A56">
        <w:rPr>
          <w:color w:val="000000" w:themeColor="text1"/>
        </w:rPr>
        <w:t>51</w:t>
      </w:r>
      <w:r w:rsidR="00465A56">
        <w:rPr>
          <w:color w:val="000000" w:themeColor="text1"/>
        </w:rPr>
        <w:t>*</w:t>
      </w:r>
      <w:r w:rsidRPr="00465A56">
        <w:rPr>
          <w:color w:val="000000" w:themeColor="text1"/>
        </w:rPr>
        <w:t xml:space="preserve"> huérfanos</w:t>
      </w:r>
      <w:r w:rsidRPr="00E46418">
        <w:rPr>
          <w:color w:val="000000" w:themeColor="text1"/>
        </w:rPr>
        <w:t xml:space="preserve"> y huérfanas. </w:t>
      </w:r>
    </w:p>
    <w:p w:rsidR="00C64181" w:rsidRPr="00E46418" w:rsidRDefault="002D5C73">
      <w:pPr>
        <w:ind w:left="-15" w:right="-3"/>
        <w:rPr>
          <w:color w:val="000000" w:themeColor="text1"/>
        </w:rPr>
      </w:pPr>
      <w:r w:rsidRPr="00E46418">
        <w:rPr>
          <w:color w:val="000000" w:themeColor="text1"/>
        </w:rPr>
        <w:t>Andalucía es</w:t>
      </w:r>
      <w:r w:rsidR="00DD3BBF" w:rsidRPr="00E46418">
        <w:rPr>
          <w:color w:val="000000" w:themeColor="text1"/>
        </w:rPr>
        <w:t xml:space="preserve"> la comunidad autónoma con más asesinatos</w:t>
      </w:r>
      <w:r w:rsidR="004D3519" w:rsidRPr="00E46418">
        <w:rPr>
          <w:color w:val="000000" w:themeColor="text1"/>
        </w:rPr>
        <w:t>,</w:t>
      </w:r>
      <w:r w:rsidR="00465A56">
        <w:rPr>
          <w:color w:val="000000" w:themeColor="text1"/>
        </w:rPr>
        <w:t xml:space="preserve"> 17</w:t>
      </w:r>
      <w:r w:rsidR="000C695C">
        <w:rPr>
          <w:color w:val="000000" w:themeColor="text1"/>
        </w:rPr>
        <w:t>*</w:t>
      </w:r>
      <w:r w:rsidR="00DD3BBF" w:rsidRPr="00E46418">
        <w:rPr>
          <w:color w:val="000000" w:themeColor="text1"/>
        </w:rPr>
        <w:t xml:space="preserve"> mujeres, destacando como muy preocupante la incidencia de </w:t>
      </w:r>
      <w:r w:rsidR="000C3671" w:rsidRPr="00E46418">
        <w:rPr>
          <w:color w:val="000000" w:themeColor="text1"/>
        </w:rPr>
        <w:t>estos crímenes</w:t>
      </w:r>
      <w:r w:rsidR="00DD3BBF" w:rsidRPr="00E46418">
        <w:rPr>
          <w:color w:val="000000" w:themeColor="text1"/>
        </w:rPr>
        <w:t xml:space="preserve"> y </w:t>
      </w:r>
      <w:r w:rsidR="000C3671" w:rsidRPr="00E46418">
        <w:rPr>
          <w:color w:val="000000" w:themeColor="text1"/>
        </w:rPr>
        <w:t xml:space="preserve">la </w:t>
      </w:r>
      <w:r w:rsidR="00DD3BBF" w:rsidRPr="00E46418">
        <w:rPr>
          <w:color w:val="000000" w:themeColor="text1"/>
        </w:rPr>
        <w:t xml:space="preserve">violencia de género en </w:t>
      </w:r>
      <w:r w:rsidRPr="00E46418">
        <w:rPr>
          <w:color w:val="000000" w:themeColor="text1"/>
        </w:rPr>
        <w:t>nuestros municipios</w:t>
      </w:r>
      <w:r w:rsidR="00DD3BBF" w:rsidRPr="00E46418">
        <w:rPr>
          <w:color w:val="000000" w:themeColor="text1"/>
        </w:rPr>
        <w:t xml:space="preserve">. </w:t>
      </w:r>
    </w:p>
    <w:p w:rsidR="00C64181" w:rsidRPr="00E46418" w:rsidRDefault="00DD3BBF">
      <w:pPr>
        <w:ind w:left="-15" w:right="-3"/>
        <w:rPr>
          <w:color w:val="000000" w:themeColor="text1"/>
        </w:rPr>
      </w:pPr>
      <w:r w:rsidRPr="00E46418">
        <w:rPr>
          <w:color w:val="000000" w:themeColor="text1"/>
        </w:rPr>
        <w:t>La</w:t>
      </w:r>
      <w:r w:rsidR="004D3519" w:rsidRPr="00E46418">
        <w:rPr>
          <w:color w:val="000000" w:themeColor="text1"/>
        </w:rPr>
        <w:t xml:space="preserve"> perduración de determinadas tradiciones </w:t>
      </w:r>
      <w:r w:rsidR="00AC5A13" w:rsidRPr="00E46418">
        <w:rPr>
          <w:color w:val="000000" w:themeColor="text1"/>
        </w:rPr>
        <w:t>en</w:t>
      </w:r>
      <w:r w:rsidRPr="00E46418">
        <w:rPr>
          <w:color w:val="000000" w:themeColor="text1"/>
        </w:rPr>
        <w:t xml:space="preserve"> la sociedad rural </w:t>
      </w:r>
      <w:r w:rsidR="00AC5A13" w:rsidRPr="00E46418">
        <w:rPr>
          <w:color w:val="000000" w:themeColor="text1"/>
        </w:rPr>
        <w:t>propicia</w:t>
      </w:r>
      <w:r w:rsidRPr="00E46418">
        <w:rPr>
          <w:color w:val="000000" w:themeColor="text1"/>
        </w:rPr>
        <w:t xml:space="preserve"> un mayor grado de normalización y dificultad en </w:t>
      </w:r>
      <w:r w:rsidR="00BF5DD6" w:rsidRPr="00E46418">
        <w:rPr>
          <w:color w:val="000000" w:themeColor="text1"/>
        </w:rPr>
        <w:t>el</w:t>
      </w:r>
      <w:r w:rsidRPr="00E46418">
        <w:rPr>
          <w:color w:val="000000" w:themeColor="text1"/>
        </w:rPr>
        <w:t xml:space="preserve"> reconocimiento de las conductas machistas</w:t>
      </w:r>
      <w:r w:rsidR="00BF5DD6" w:rsidRPr="00E46418">
        <w:rPr>
          <w:color w:val="000000" w:themeColor="text1"/>
        </w:rPr>
        <w:t>, lo que limita las denuncias. A</w:t>
      </w:r>
      <w:r w:rsidR="00185613" w:rsidRPr="00E46418">
        <w:rPr>
          <w:color w:val="000000" w:themeColor="text1"/>
        </w:rPr>
        <w:t xml:space="preserve"> ello hay que sumar otros </w:t>
      </w:r>
      <w:r w:rsidRPr="00E46418">
        <w:rPr>
          <w:color w:val="000000" w:themeColor="text1"/>
        </w:rPr>
        <w:t>factores como aislamiento y dispersión de los recursos, la ausencia de anonimato, el miedo al estigma, a</w:t>
      </w:r>
      <w:r w:rsidR="00FE0D46" w:rsidRPr="00E46418">
        <w:rPr>
          <w:color w:val="000000" w:themeColor="text1"/>
        </w:rPr>
        <w:t xml:space="preserve"> ser señaladas y culpabilizadas. Todo nos</w:t>
      </w:r>
      <w:r w:rsidRPr="00E46418">
        <w:rPr>
          <w:color w:val="000000" w:themeColor="text1"/>
        </w:rPr>
        <w:t xml:space="preserve"> lleva a considerar </w:t>
      </w:r>
      <w:r w:rsidR="00BB3ACF" w:rsidRPr="00E46418">
        <w:rPr>
          <w:color w:val="000000" w:themeColor="text1"/>
        </w:rPr>
        <w:t>que</w:t>
      </w:r>
      <w:r w:rsidR="00185CF7" w:rsidRPr="00E46418">
        <w:rPr>
          <w:color w:val="000000" w:themeColor="text1"/>
        </w:rPr>
        <w:t xml:space="preserve"> </w:t>
      </w:r>
      <w:r w:rsidRPr="00E46418">
        <w:rPr>
          <w:color w:val="000000" w:themeColor="text1"/>
        </w:rPr>
        <w:t>en las zo</w:t>
      </w:r>
      <w:r w:rsidR="00533FFC" w:rsidRPr="00E46418">
        <w:rPr>
          <w:color w:val="000000" w:themeColor="text1"/>
        </w:rPr>
        <w:t>nas rurales</w:t>
      </w:r>
      <w:r w:rsidR="00185613" w:rsidRPr="00E46418">
        <w:rPr>
          <w:color w:val="000000" w:themeColor="text1"/>
        </w:rPr>
        <w:t>,</w:t>
      </w:r>
      <w:r w:rsidRPr="00E46418">
        <w:rPr>
          <w:color w:val="000000" w:themeColor="text1"/>
        </w:rPr>
        <w:t xml:space="preserve"> las mujeres víc</w:t>
      </w:r>
      <w:r w:rsidR="00185613" w:rsidRPr="00E46418">
        <w:rPr>
          <w:color w:val="000000" w:themeColor="text1"/>
        </w:rPr>
        <w:t>timas de la violencia de género</w:t>
      </w:r>
      <w:r w:rsidR="00267898" w:rsidRPr="00E46418">
        <w:rPr>
          <w:color w:val="000000" w:themeColor="text1"/>
        </w:rPr>
        <w:t>,</w:t>
      </w:r>
      <w:r w:rsidRPr="00E46418">
        <w:rPr>
          <w:color w:val="000000" w:themeColor="text1"/>
        </w:rPr>
        <w:t xml:space="preserve"> </w:t>
      </w:r>
      <w:r w:rsidR="004E3621" w:rsidRPr="00E46418">
        <w:rPr>
          <w:color w:val="000000" w:themeColor="text1"/>
        </w:rPr>
        <w:t>tienen mayores</w:t>
      </w:r>
      <w:r w:rsidRPr="00E46418">
        <w:rPr>
          <w:color w:val="000000" w:themeColor="text1"/>
        </w:rPr>
        <w:t xml:space="preserve"> dificultades para salir de la violencia y recuperar su vida.  </w:t>
      </w:r>
    </w:p>
    <w:p w:rsidR="00C64181" w:rsidRPr="00E46418" w:rsidRDefault="00DD3BBF">
      <w:pPr>
        <w:ind w:left="-15" w:right="-3"/>
        <w:rPr>
          <w:color w:val="000000" w:themeColor="text1"/>
        </w:rPr>
      </w:pPr>
      <w:r w:rsidRPr="00E46418">
        <w:rPr>
          <w:color w:val="000000" w:themeColor="text1"/>
        </w:rPr>
        <w:t xml:space="preserve">También se alerta como factor de vulnerabilidad las causas que contribuyen a la sobrexposición de las mujeres extranjeras a la violencia de género, tales como la carencia de redes sociales de apoyo, las barreras idiomáticas, el desconocimiento de sus derechos y la dependencia del agresor. </w:t>
      </w:r>
    </w:p>
    <w:p w:rsidR="00C64181" w:rsidRPr="00E46418" w:rsidRDefault="00DD3BBF">
      <w:pPr>
        <w:spacing w:after="0" w:line="259" w:lineRule="auto"/>
        <w:ind w:firstLine="0"/>
        <w:jc w:val="left"/>
        <w:rPr>
          <w:color w:val="000000" w:themeColor="text1"/>
        </w:rPr>
      </w:pPr>
      <w:r w:rsidRPr="00E46418">
        <w:rPr>
          <w:color w:val="000000" w:themeColor="text1"/>
        </w:rPr>
        <w:t xml:space="preserve"> </w:t>
      </w:r>
    </w:p>
    <w:p w:rsidR="00C64181" w:rsidRPr="00E46418" w:rsidRDefault="00DD3BBF">
      <w:pPr>
        <w:spacing w:after="164" w:line="259" w:lineRule="auto"/>
        <w:ind w:firstLine="0"/>
        <w:jc w:val="left"/>
        <w:rPr>
          <w:color w:val="000000" w:themeColor="text1"/>
        </w:rPr>
      </w:pPr>
      <w:r w:rsidRPr="00E46418">
        <w:rPr>
          <w:color w:val="000000" w:themeColor="text1"/>
        </w:rPr>
        <w:t xml:space="preserve"> </w:t>
      </w:r>
    </w:p>
    <w:p w:rsidR="00C64181" w:rsidRPr="00E46418" w:rsidRDefault="00DD3BBF">
      <w:pPr>
        <w:ind w:left="-15" w:right="-3"/>
        <w:rPr>
          <w:color w:val="000000" w:themeColor="text1"/>
        </w:rPr>
      </w:pPr>
      <w:r w:rsidRPr="00E46418">
        <w:rPr>
          <w:color w:val="000000" w:themeColor="text1"/>
        </w:rPr>
        <w:lastRenderedPageBreak/>
        <w:t>Es preocupante la tendencia de la violencia de género a aparecer cada vez en edades más tempranas, tanto en víctimas menores de 18 años como en agresores, según el INE. A este dato se une el que cada vez son más los jóvenes que la niegan y no recono</w:t>
      </w:r>
      <w:r w:rsidR="000C07D2" w:rsidRPr="00E46418">
        <w:rPr>
          <w:color w:val="000000" w:themeColor="text1"/>
        </w:rPr>
        <w:t xml:space="preserve">cen a los agresores como tales, </w:t>
      </w:r>
      <w:r w:rsidRPr="00E46418">
        <w:rPr>
          <w:color w:val="000000" w:themeColor="text1"/>
        </w:rPr>
        <w:t>uno de cada cinco ch</w:t>
      </w:r>
      <w:r w:rsidR="000C07D2" w:rsidRPr="00E46418">
        <w:rPr>
          <w:color w:val="000000" w:themeColor="text1"/>
        </w:rPr>
        <w:t>icos entre 14 y 29 años</w:t>
      </w:r>
      <w:r w:rsidRPr="00E46418">
        <w:rPr>
          <w:color w:val="000000" w:themeColor="text1"/>
        </w:rPr>
        <w:t xml:space="preserve">. </w:t>
      </w:r>
    </w:p>
    <w:p w:rsidR="00C64181" w:rsidRPr="00E46418" w:rsidRDefault="000D7767">
      <w:pPr>
        <w:ind w:left="-15" w:right="-3"/>
        <w:rPr>
          <w:color w:val="000000" w:themeColor="text1"/>
        </w:rPr>
      </w:pPr>
      <w:r w:rsidRPr="00E46418">
        <w:rPr>
          <w:color w:val="000000" w:themeColor="text1"/>
        </w:rPr>
        <w:t xml:space="preserve">Además, las </w:t>
      </w:r>
      <w:r w:rsidR="00DD3BBF" w:rsidRPr="00E46418">
        <w:rPr>
          <w:color w:val="000000" w:themeColor="text1"/>
        </w:rPr>
        <w:t xml:space="preserve">agresiones sexuales cometidas por y sobre menores se han incrementado en </w:t>
      </w:r>
      <w:r w:rsidR="004E3621" w:rsidRPr="00E46418">
        <w:rPr>
          <w:color w:val="000000" w:themeColor="text1"/>
        </w:rPr>
        <w:t>casi</w:t>
      </w:r>
      <w:r w:rsidRPr="00E46418">
        <w:rPr>
          <w:color w:val="000000" w:themeColor="text1"/>
        </w:rPr>
        <w:t xml:space="preserve"> un 50%</w:t>
      </w:r>
      <w:r w:rsidR="00894935" w:rsidRPr="00E46418">
        <w:rPr>
          <w:color w:val="000000" w:themeColor="text1"/>
        </w:rPr>
        <w:t xml:space="preserve"> respecto al año anterior. E</w:t>
      </w:r>
      <w:r w:rsidR="00DD3BBF" w:rsidRPr="00E46418">
        <w:rPr>
          <w:color w:val="000000" w:themeColor="text1"/>
        </w:rPr>
        <w:t xml:space="preserve">sta tónica ascendente es </w:t>
      </w:r>
      <w:r w:rsidR="004E3621" w:rsidRPr="00E46418">
        <w:rPr>
          <w:color w:val="000000" w:themeColor="text1"/>
        </w:rPr>
        <w:t>constante, con</w:t>
      </w:r>
      <w:r w:rsidR="00285420" w:rsidRPr="00E46418">
        <w:rPr>
          <w:color w:val="000000" w:themeColor="text1"/>
        </w:rPr>
        <w:t xml:space="preserve"> el riesgo del mal uso de herramientas digitales como las redes sociales o la posible carencia de una adecuada formación afectivo sexual.</w:t>
      </w:r>
    </w:p>
    <w:p w:rsidR="00C64181" w:rsidRPr="00E46418" w:rsidRDefault="00DD3BBF">
      <w:pPr>
        <w:ind w:left="-15" w:right="-3"/>
        <w:rPr>
          <w:color w:val="000000" w:themeColor="text1"/>
        </w:rPr>
      </w:pPr>
      <w:r w:rsidRPr="00E46418">
        <w:rPr>
          <w:color w:val="000000" w:themeColor="text1"/>
        </w:rPr>
        <w:t xml:space="preserve">Desde hace 20 años -2003- que se contabilizan los casos, se puede afirmar que </w:t>
      </w:r>
      <w:r w:rsidR="0070702D" w:rsidRPr="00E46418">
        <w:rPr>
          <w:color w:val="000000" w:themeColor="text1"/>
        </w:rPr>
        <w:t>la violencia</w:t>
      </w:r>
      <w:r w:rsidRPr="00E46418">
        <w:rPr>
          <w:color w:val="000000" w:themeColor="text1"/>
        </w:rPr>
        <w:t xml:space="preserve"> contra las mujeres arroja por desgracia da</w:t>
      </w:r>
      <w:r w:rsidR="00476D5B" w:rsidRPr="00E46418">
        <w:rPr>
          <w:color w:val="000000" w:themeColor="text1"/>
        </w:rPr>
        <w:t xml:space="preserve">tos incontestables: </w:t>
      </w:r>
      <w:r w:rsidR="00476D5B" w:rsidRPr="00465A56">
        <w:rPr>
          <w:color w:val="000000" w:themeColor="text1"/>
        </w:rPr>
        <w:t>1.23</w:t>
      </w:r>
      <w:r w:rsidR="00465A56" w:rsidRPr="00465A56">
        <w:rPr>
          <w:color w:val="000000" w:themeColor="text1"/>
        </w:rPr>
        <w:t>7</w:t>
      </w:r>
      <w:r w:rsidR="00476D5B" w:rsidRPr="00465A56">
        <w:rPr>
          <w:color w:val="000000" w:themeColor="text1"/>
        </w:rPr>
        <w:t xml:space="preserve"> </w:t>
      </w:r>
      <w:r w:rsidR="000C695C">
        <w:rPr>
          <w:color w:val="000000" w:themeColor="text1"/>
        </w:rPr>
        <w:t xml:space="preserve">* </w:t>
      </w:r>
      <w:r w:rsidR="00476D5B" w:rsidRPr="00465A56">
        <w:rPr>
          <w:color w:val="000000" w:themeColor="text1"/>
        </w:rPr>
        <w:t>mujeres</w:t>
      </w:r>
      <w:r w:rsidR="00476D5B" w:rsidRPr="00E46418">
        <w:rPr>
          <w:color w:val="000000" w:themeColor="text1"/>
        </w:rPr>
        <w:t xml:space="preserve"> víctimas mortales y</w:t>
      </w:r>
      <w:r w:rsidRPr="00E46418">
        <w:rPr>
          <w:color w:val="000000" w:themeColor="text1"/>
        </w:rPr>
        <w:t xml:space="preserve"> más de dos millones de denuncias. </w:t>
      </w:r>
    </w:p>
    <w:p w:rsidR="00C64181" w:rsidRPr="00E46418" w:rsidRDefault="00DD3BBF" w:rsidP="00175D72">
      <w:pPr>
        <w:ind w:left="-15" w:right="-3"/>
        <w:rPr>
          <w:color w:val="000000" w:themeColor="text1"/>
        </w:rPr>
      </w:pPr>
      <w:r w:rsidRPr="00E46418">
        <w:rPr>
          <w:color w:val="000000" w:themeColor="text1"/>
        </w:rPr>
        <w:t xml:space="preserve">Pese a décadas de políticas de igualdad de diferentes administraciones públicas, de activismo del movimiento feminista </w:t>
      </w:r>
      <w:r w:rsidR="00053ACD" w:rsidRPr="00E46418">
        <w:rPr>
          <w:color w:val="000000" w:themeColor="text1"/>
        </w:rPr>
        <w:t>y organizaciones</w:t>
      </w:r>
      <w:r w:rsidRPr="00E46418">
        <w:rPr>
          <w:color w:val="000000" w:themeColor="text1"/>
        </w:rPr>
        <w:t xml:space="preserve"> por los derechos de la</w:t>
      </w:r>
      <w:r w:rsidR="008F7E46" w:rsidRPr="00E46418">
        <w:rPr>
          <w:color w:val="000000" w:themeColor="text1"/>
        </w:rPr>
        <w:t>s</w:t>
      </w:r>
      <w:r w:rsidRPr="00E46418">
        <w:rPr>
          <w:color w:val="000000" w:themeColor="text1"/>
        </w:rPr>
        <w:t xml:space="preserve"> mujeres</w:t>
      </w:r>
      <w:r w:rsidR="008F7E46" w:rsidRPr="00E46418">
        <w:rPr>
          <w:color w:val="000000" w:themeColor="text1"/>
        </w:rPr>
        <w:t>,</w:t>
      </w:r>
      <w:r w:rsidRPr="00E46418">
        <w:rPr>
          <w:color w:val="000000" w:themeColor="text1"/>
        </w:rPr>
        <w:t xml:space="preserve"> así como</w:t>
      </w:r>
      <w:r w:rsidR="008F7E46" w:rsidRPr="00E46418">
        <w:rPr>
          <w:color w:val="000000" w:themeColor="text1"/>
        </w:rPr>
        <w:t xml:space="preserve"> de</w:t>
      </w:r>
      <w:r w:rsidRPr="00E46418">
        <w:rPr>
          <w:color w:val="000000" w:themeColor="text1"/>
        </w:rPr>
        <w:t xml:space="preserve"> la c</w:t>
      </w:r>
      <w:bookmarkStart w:id="0" w:name="_GoBack"/>
      <w:bookmarkEnd w:id="0"/>
      <w:r w:rsidRPr="00E46418">
        <w:rPr>
          <w:color w:val="000000" w:themeColor="text1"/>
        </w:rPr>
        <w:t xml:space="preserve">reciente concienciación social, la evidencia indica que el avance para poner fin a esta violencia es insuficiente. </w:t>
      </w:r>
    </w:p>
    <w:p w:rsidR="00C64181" w:rsidRPr="00E46418" w:rsidRDefault="00DD3BBF">
      <w:pPr>
        <w:ind w:left="-15" w:right="-3"/>
        <w:rPr>
          <w:color w:val="000000" w:themeColor="text1"/>
        </w:rPr>
      </w:pPr>
      <w:r w:rsidRPr="00E46418">
        <w:rPr>
          <w:color w:val="000000" w:themeColor="text1"/>
        </w:rPr>
        <w:t xml:space="preserve">Han surgido movimientos </w:t>
      </w:r>
      <w:r w:rsidR="00E00252" w:rsidRPr="00E46418">
        <w:rPr>
          <w:color w:val="000000" w:themeColor="text1"/>
        </w:rPr>
        <w:t>antid</w:t>
      </w:r>
      <w:r w:rsidR="004E3621" w:rsidRPr="00E46418">
        <w:rPr>
          <w:color w:val="000000" w:themeColor="text1"/>
        </w:rPr>
        <w:t>erechos</w:t>
      </w:r>
      <w:r w:rsidRPr="00E46418">
        <w:rPr>
          <w:color w:val="000000" w:themeColor="text1"/>
        </w:rPr>
        <w:t xml:space="preserve"> </w:t>
      </w:r>
      <w:r w:rsidR="000011D9" w:rsidRPr="00E46418">
        <w:rPr>
          <w:color w:val="000000" w:themeColor="text1"/>
        </w:rPr>
        <w:t>y</w:t>
      </w:r>
      <w:r w:rsidRPr="00E46418">
        <w:rPr>
          <w:color w:val="000000" w:themeColor="text1"/>
        </w:rPr>
        <w:t xml:space="preserve"> discursos </w:t>
      </w:r>
      <w:r w:rsidR="0070702D" w:rsidRPr="00E46418">
        <w:rPr>
          <w:color w:val="000000" w:themeColor="text1"/>
        </w:rPr>
        <w:t>negacionis</w:t>
      </w:r>
      <w:r w:rsidR="004E3621" w:rsidRPr="00E46418">
        <w:rPr>
          <w:color w:val="000000" w:themeColor="text1"/>
        </w:rPr>
        <w:t>tas</w:t>
      </w:r>
      <w:r w:rsidRPr="00E46418">
        <w:rPr>
          <w:color w:val="000000" w:themeColor="text1"/>
        </w:rPr>
        <w:t xml:space="preserve"> </w:t>
      </w:r>
      <w:r w:rsidR="000011D9" w:rsidRPr="00E46418">
        <w:rPr>
          <w:color w:val="000000" w:themeColor="text1"/>
        </w:rPr>
        <w:t>de la violencia de género</w:t>
      </w:r>
      <w:r w:rsidR="001D22DB" w:rsidRPr="00E46418">
        <w:rPr>
          <w:color w:val="000000" w:themeColor="text1"/>
        </w:rPr>
        <w:t>,</w:t>
      </w:r>
      <w:r w:rsidR="000011D9" w:rsidRPr="00E46418">
        <w:rPr>
          <w:color w:val="000000" w:themeColor="text1"/>
        </w:rPr>
        <w:t xml:space="preserve"> </w:t>
      </w:r>
      <w:r w:rsidRPr="00E46418">
        <w:rPr>
          <w:color w:val="000000" w:themeColor="text1"/>
        </w:rPr>
        <w:t xml:space="preserve">que refuerzan a maltratadores y acentúan la vulnerabilidad de las víctimas, junto a otras tendencias que abordan el problema de manera superficial con respuesta triviales a graves injusticias, vaciando de contenido las palabras de las mujeres y adormeciendo a la sociedad ante el dolor de las víctimas. </w:t>
      </w:r>
    </w:p>
    <w:p w:rsidR="00C64181" w:rsidRPr="00E46418" w:rsidRDefault="00DD3BBF">
      <w:pPr>
        <w:ind w:left="-15" w:right="-3"/>
        <w:rPr>
          <w:color w:val="000000" w:themeColor="text1"/>
        </w:rPr>
      </w:pPr>
      <w:r w:rsidRPr="00E46418">
        <w:rPr>
          <w:color w:val="000000" w:themeColor="text1"/>
        </w:rPr>
        <w:t>Sin embargo, los asesinatos y otras formas de violencia con</w:t>
      </w:r>
      <w:r w:rsidR="008417E1" w:rsidRPr="00E46418">
        <w:rPr>
          <w:color w:val="000000" w:themeColor="text1"/>
        </w:rPr>
        <w:t xml:space="preserve">tra las mujeres y las niñas, son </w:t>
      </w:r>
      <w:r w:rsidRPr="00E46418">
        <w:rPr>
          <w:color w:val="000000" w:themeColor="text1"/>
        </w:rPr>
        <w:t xml:space="preserve">evitables. </w:t>
      </w:r>
    </w:p>
    <w:p w:rsidR="00C64181" w:rsidRPr="00E46418" w:rsidRDefault="00CB04A5">
      <w:pPr>
        <w:ind w:left="-15" w:right="-3"/>
        <w:rPr>
          <w:color w:val="000000" w:themeColor="text1"/>
        </w:rPr>
      </w:pPr>
      <w:r w:rsidRPr="00E46418">
        <w:rPr>
          <w:color w:val="000000" w:themeColor="text1"/>
        </w:rPr>
        <w:t>Junto con la</w:t>
      </w:r>
      <w:r w:rsidR="00DD3BBF" w:rsidRPr="00E46418">
        <w:rPr>
          <w:color w:val="000000" w:themeColor="text1"/>
        </w:rPr>
        <w:t xml:space="preserve"> respuesta institucional y las organizaciones de mujeres, ahora más que nunca</w:t>
      </w:r>
      <w:r w:rsidR="00430ACA" w:rsidRPr="00E46418">
        <w:rPr>
          <w:color w:val="000000" w:themeColor="text1"/>
        </w:rPr>
        <w:t>,</w:t>
      </w:r>
      <w:r w:rsidR="00DD3BBF" w:rsidRPr="00E46418">
        <w:rPr>
          <w:color w:val="000000" w:themeColor="text1"/>
        </w:rPr>
        <w:t xml:space="preserve"> se necesita el apoyo de las personas que forman parte del entorno cercano de las víctimas, que suelen conocer si una mujer sufre violencia de género. </w:t>
      </w:r>
      <w:r w:rsidR="006F37C2" w:rsidRPr="00E46418">
        <w:rPr>
          <w:color w:val="000000" w:themeColor="text1"/>
        </w:rPr>
        <w:t>S</w:t>
      </w:r>
      <w:r w:rsidR="00DD3BBF" w:rsidRPr="00E46418">
        <w:rPr>
          <w:color w:val="000000" w:themeColor="text1"/>
        </w:rPr>
        <w:t>u intervención es esencial para que pueda salir de ella. Amistades, vecindario, familiares cercanos, compañeros y compañeras de</w:t>
      </w:r>
      <w:r w:rsidR="008E7363" w:rsidRPr="00E46418">
        <w:rPr>
          <w:color w:val="000000" w:themeColor="text1"/>
        </w:rPr>
        <w:t xml:space="preserve"> trabajo y estudios, demasiadas </w:t>
      </w:r>
      <w:r w:rsidR="00DD3BBF" w:rsidRPr="00E46418">
        <w:rPr>
          <w:color w:val="000000" w:themeColor="text1"/>
        </w:rPr>
        <w:t xml:space="preserve">veces </w:t>
      </w:r>
      <w:r w:rsidR="008E7363" w:rsidRPr="00E46418">
        <w:rPr>
          <w:color w:val="000000" w:themeColor="text1"/>
        </w:rPr>
        <w:t>observan</w:t>
      </w:r>
      <w:r w:rsidR="00DD3BBF" w:rsidRPr="00E46418">
        <w:rPr>
          <w:color w:val="000000" w:themeColor="text1"/>
        </w:rPr>
        <w:t xml:space="preserve"> </w:t>
      </w:r>
      <w:r w:rsidR="006F37C2" w:rsidRPr="00E46418">
        <w:rPr>
          <w:color w:val="000000" w:themeColor="text1"/>
        </w:rPr>
        <w:t>en silencio</w:t>
      </w:r>
      <w:r w:rsidR="006469EC" w:rsidRPr="00E46418">
        <w:rPr>
          <w:color w:val="000000" w:themeColor="text1"/>
        </w:rPr>
        <w:t xml:space="preserve"> </w:t>
      </w:r>
      <w:r w:rsidR="00DD3BBF" w:rsidRPr="00E46418">
        <w:rPr>
          <w:color w:val="000000" w:themeColor="text1"/>
        </w:rPr>
        <w:t xml:space="preserve">estas agresiones.  </w:t>
      </w:r>
    </w:p>
    <w:p w:rsidR="00C64181" w:rsidRPr="00E46418" w:rsidRDefault="00DD3BBF">
      <w:pPr>
        <w:ind w:left="-15" w:right="-3"/>
        <w:rPr>
          <w:color w:val="000000" w:themeColor="text1"/>
        </w:rPr>
      </w:pPr>
      <w:r w:rsidRPr="00E46418">
        <w:rPr>
          <w:color w:val="000000" w:themeColor="text1"/>
        </w:rPr>
        <w:t>Las Diputaciones de Andalucía consideramos que la violencia de género es una grave violación de los derechos humanos, y, que el irrenunciable desarrollo de actuaciones para la efectividad del principio de igualdad en nuestros territorios</w:t>
      </w:r>
      <w:r w:rsidR="00430ACA" w:rsidRPr="00E46418">
        <w:rPr>
          <w:color w:val="000000" w:themeColor="text1"/>
        </w:rPr>
        <w:t>,</w:t>
      </w:r>
      <w:r w:rsidRPr="00E46418">
        <w:rPr>
          <w:color w:val="000000" w:themeColor="text1"/>
        </w:rPr>
        <w:t xml:space="preserve"> es fundamental para su eliminación. </w:t>
      </w:r>
    </w:p>
    <w:p w:rsidR="00C64181" w:rsidRPr="00E46418" w:rsidRDefault="00DD3BBF">
      <w:pPr>
        <w:ind w:left="-15" w:right="-3" w:firstLine="0"/>
        <w:rPr>
          <w:color w:val="000000" w:themeColor="text1"/>
        </w:rPr>
      </w:pPr>
      <w:r w:rsidRPr="00E46418">
        <w:rPr>
          <w:color w:val="000000" w:themeColor="text1"/>
        </w:rPr>
        <w:t xml:space="preserve">Un año más, en conmemoración del DÍA INTERNACIONAL PARA LA ELIMINACIÓN DE LA VIOLENCIA CONTRA LAS MUJERES, nos comprometemos a: </w:t>
      </w:r>
    </w:p>
    <w:p w:rsidR="00C64181" w:rsidRPr="00E46418" w:rsidRDefault="00DD3BBF">
      <w:pPr>
        <w:numPr>
          <w:ilvl w:val="0"/>
          <w:numId w:val="1"/>
        </w:numPr>
        <w:spacing w:after="35" w:line="241" w:lineRule="auto"/>
        <w:ind w:right="-3" w:hanging="360"/>
        <w:rPr>
          <w:color w:val="000000" w:themeColor="text1"/>
        </w:rPr>
      </w:pPr>
      <w:r w:rsidRPr="00E46418">
        <w:rPr>
          <w:color w:val="000000" w:themeColor="text1"/>
        </w:rPr>
        <w:t xml:space="preserve">Incrementar los esfuerzos en el ámbito rural, proporcionando recursos de prevención, asistencia, acompañamiento y protección a las víctimas en los municipios. </w:t>
      </w:r>
    </w:p>
    <w:p w:rsidR="00C64181" w:rsidRPr="00E46418" w:rsidRDefault="00DD3BBF">
      <w:pPr>
        <w:numPr>
          <w:ilvl w:val="0"/>
          <w:numId w:val="1"/>
        </w:numPr>
        <w:spacing w:after="27"/>
        <w:ind w:right="-3" w:hanging="360"/>
        <w:rPr>
          <w:color w:val="000000" w:themeColor="text1"/>
        </w:rPr>
      </w:pPr>
      <w:r w:rsidRPr="00E46418">
        <w:rPr>
          <w:color w:val="000000" w:themeColor="text1"/>
        </w:rPr>
        <w:lastRenderedPageBreak/>
        <w:t>Contribuir a la prevención de la violencia de género en edades tempranas, así como mejorar la detección y atención a las nuevas formas y manifestaciones de la violencia (como la ciberviol</w:t>
      </w:r>
      <w:r w:rsidR="004E3621" w:rsidRPr="00E46418">
        <w:rPr>
          <w:color w:val="000000" w:themeColor="text1"/>
        </w:rPr>
        <w:t>encia, violencia sexual grupal</w:t>
      </w:r>
      <w:r w:rsidR="00413C79" w:rsidRPr="00E46418">
        <w:rPr>
          <w:color w:val="000000" w:themeColor="text1"/>
        </w:rPr>
        <w:t xml:space="preserve">, </w:t>
      </w:r>
      <w:r w:rsidR="004E3621" w:rsidRPr="00E46418">
        <w:rPr>
          <w:color w:val="000000" w:themeColor="text1"/>
          <w:shd w:val="clear" w:color="auto" w:fill="FFFFFF" w:themeFill="background1"/>
        </w:rPr>
        <w:t>etcétera</w:t>
      </w:r>
      <w:r w:rsidRPr="00E46418">
        <w:rPr>
          <w:color w:val="000000" w:themeColor="text1"/>
        </w:rPr>
        <w:t xml:space="preserve">). </w:t>
      </w:r>
    </w:p>
    <w:p w:rsidR="00C64181" w:rsidRPr="00E46418" w:rsidRDefault="00DD3BBF">
      <w:pPr>
        <w:numPr>
          <w:ilvl w:val="0"/>
          <w:numId w:val="1"/>
        </w:numPr>
        <w:spacing w:after="27"/>
        <w:ind w:right="-3" w:hanging="360"/>
        <w:rPr>
          <w:color w:val="000000" w:themeColor="text1"/>
        </w:rPr>
      </w:pPr>
      <w:r w:rsidRPr="00E46418">
        <w:rPr>
          <w:color w:val="000000" w:themeColor="text1"/>
        </w:rPr>
        <w:t xml:space="preserve">Desarrollar medidas de prevención y atención desde la perspectiva de la interseccionalidad, atendiendo a las características de la población de nuestros municipios. </w:t>
      </w:r>
    </w:p>
    <w:p w:rsidR="00C64181" w:rsidRPr="00E46418" w:rsidRDefault="00DD3BBF">
      <w:pPr>
        <w:numPr>
          <w:ilvl w:val="0"/>
          <w:numId w:val="1"/>
        </w:numPr>
        <w:spacing w:after="27"/>
        <w:ind w:right="-3" w:hanging="360"/>
        <w:rPr>
          <w:color w:val="000000" w:themeColor="text1"/>
        </w:rPr>
      </w:pPr>
      <w:r w:rsidRPr="00E46418">
        <w:rPr>
          <w:color w:val="000000" w:themeColor="text1"/>
        </w:rPr>
        <w:t xml:space="preserve">Sensibilizar y hacer un llamamiento a toda la sociedad, especialmente a los hombres y a los jóvenes, para que </w:t>
      </w:r>
      <w:r w:rsidR="003D016A" w:rsidRPr="00E46418">
        <w:rPr>
          <w:color w:val="000000" w:themeColor="text1"/>
        </w:rPr>
        <w:t>muestren su máximo compromiso y colaboración en la lucha contra la desigualdad de género y la violencia que causa.</w:t>
      </w:r>
    </w:p>
    <w:p w:rsidR="00C64181" w:rsidRPr="00E46418" w:rsidRDefault="00DD3BBF">
      <w:pPr>
        <w:numPr>
          <w:ilvl w:val="0"/>
          <w:numId w:val="1"/>
        </w:numPr>
        <w:spacing w:after="28"/>
        <w:ind w:right="-3" w:hanging="360"/>
        <w:rPr>
          <w:color w:val="000000" w:themeColor="text1"/>
        </w:rPr>
      </w:pPr>
      <w:r w:rsidRPr="00E46418">
        <w:rPr>
          <w:color w:val="000000" w:themeColor="text1"/>
        </w:rPr>
        <w:t xml:space="preserve">Apoyar a las asociaciones de mujeres y grupos de ciudadanos y ciudadanas implicados en los retos feministas. </w:t>
      </w:r>
    </w:p>
    <w:p w:rsidR="00C2070C" w:rsidRDefault="00DD3BBF">
      <w:pPr>
        <w:numPr>
          <w:ilvl w:val="0"/>
          <w:numId w:val="1"/>
        </w:numPr>
        <w:spacing w:after="0"/>
        <w:ind w:right="-3" w:hanging="360"/>
        <w:rPr>
          <w:color w:val="000000" w:themeColor="text1"/>
        </w:rPr>
      </w:pPr>
      <w:r w:rsidRPr="00E46418">
        <w:rPr>
          <w:color w:val="000000" w:themeColor="text1"/>
        </w:rPr>
        <w:t>Profundizar y reforzar la colaboración pública privada contra las violencias machistas hacia las mujeres y las niñas, implicando a las personas cerca</w:t>
      </w:r>
      <w:r w:rsidR="00475F57" w:rsidRPr="00E46418">
        <w:rPr>
          <w:color w:val="000000" w:themeColor="text1"/>
        </w:rPr>
        <w:t>nas que la conocen: “HABLA, ACTÚ</w:t>
      </w:r>
      <w:r w:rsidRPr="00E46418">
        <w:rPr>
          <w:color w:val="000000" w:themeColor="text1"/>
        </w:rPr>
        <w:t>A, DENUNCIA POR ELLAS”.</w:t>
      </w:r>
    </w:p>
    <w:p w:rsidR="00C64181" w:rsidRPr="00E46418" w:rsidRDefault="00DD3BBF" w:rsidP="00C2070C">
      <w:pPr>
        <w:spacing w:after="0"/>
        <w:ind w:left="720" w:right="-3" w:firstLine="0"/>
        <w:rPr>
          <w:color w:val="000000" w:themeColor="text1"/>
        </w:rPr>
      </w:pPr>
      <w:r w:rsidRPr="00E46418">
        <w:rPr>
          <w:color w:val="000000" w:themeColor="text1"/>
        </w:rPr>
        <w:t xml:space="preserve"> </w:t>
      </w:r>
    </w:p>
    <w:p w:rsidR="00C64181" w:rsidRPr="00E46418" w:rsidRDefault="00DD3BBF">
      <w:pPr>
        <w:spacing w:after="0" w:line="259" w:lineRule="auto"/>
        <w:ind w:left="720" w:firstLine="0"/>
        <w:jc w:val="left"/>
        <w:rPr>
          <w:color w:val="000000" w:themeColor="text1"/>
        </w:rPr>
      </w:pPr>
      <w:r w:rsidRPr="00E46418">
        <w:rPr>
          <w:color w:val="000000" w:themeColor="text1"/>
        </w:rPr>
        <w:t xml:space="preserve"> </w:t>
      </w:r>
    </w:p>
    <w:p w:rsidR="00C64181" w:rsidRPr="00E46418" w:rsidRDefault="00DD3BBF">
      <w:pPr>
        <w:spacing w:after="0" w:line="259" w:lineRule="auto"/>
        <w:ind w:firstLine="0"/>
        <w:jc w:val="left"/>
        <w:rPr>
          <w:color w:val="000000" w:themeColor="text1"/>
        </w:rPr>
      </w:pPr>
      <w:r w:rsidRPr="00E46418">
        <w:rPr>
          <w:color w:val="000000" w:themeColor="text1"/>
        </w:rPr>
        <w:t xml:space="preserve"> </w:t>
      </w:r>
    </w:p>
    <w:p w:rsidR="00086C34" w:rsidRPr="00E46418" w:rsidRDefault="00086C34">
      <w:pPr>
        <w:spacing w:after="0" w:line="259" w:lineRule="auto"/>
        <w:ind w:firstLine="0"/>
        <w:jc w:val="left"/>
        <w:rPr>
          <w:color w:val="000000" w:themeColor="text1"/>
        </w:rPr>
      </w:pPr>
    </w:p>
    <w:p w:rsidR="00086C34" w:rsidRPr="00E46418" w:rsidRDefault="00086C34">
      <w:pPr>
        <w:spacing w:after="0" w:line="259" w:lineRule="auto"/>
        <w:ind w:firstLine="0"/>
        <w:jc w:val="left"/>
        <w:rPr>
          <w:color w:val="000000" w:themeColor="text1"/>
        </w:rPr>
      </w:pPr>
    </w:p>
    <w:p w:rsidR="00086C34" w:rsidRPr="00E46418" w:rsidRDefault="00086C34">
      <w:pPr>
        <w:spacing w:after="0" w:line="259" w:lineRule="auto"/>
        <w:ind w:firstLine="0"/>
        <w:jc w:val="left"/>
        <w:rPr>
          <w:color w:val="000000" w:themeColor="text1"/>
        </w:rPr>
      </w:pPr>
    </w:p>
    <w:p w:rsidR="00086C34" w:rsidRPr="00E46418" w:rsidRDefault="00086C34">
      <w:pPr>
        <w:spacing w:after="0" w:line="259" w:lineRule="auto"/>
        <w:ind w:firstLine="0"/>
        <w:jc w:val="left"/>
        <w:rPr>
          <w:color w:val="000000" w:themeColor="text1"/>
        </w:rPr>
      </w:pPr>
    </w:p>
    <w:p w:rsidR="00086C34" w:rsidRPr="00E46418" w:rsidRDefault="00086C34">
      <w:pPr>
        <w:spacing w:after="0" w:line="259" w:lineRule="auto"/>
        <w:ind w:firstLine="0"/>
        <w:jc w:val="left"/>
        <w:rPr>
          <w:color w:val="000000" w:themeColor="text1"/>
        </w:rPr>
      </w:pPr>
    </w:p>
    <w:p w:rsidR="00086C34" w:rsidRPr="00E46418" w:rsidRDefault="00086C34">
      <w:pPr>
        <w:spacing w:after="0" w:line="259" w:lineRule="auto"/>
        <w:ind w:firstLine="0"/>
        <w:jc w:val="left"/>
        <w:rPr>
          <w:i/>
          <w:color w:val="000000" w:themeColor="text1"/>
          <w:sz w:val="22"/>
        </w:rPr>
      </w:pPr>
      <w:r w:rsidRPr="00E46418">
        <w:rPr>
          <w:i/>
          <w:color w:val="000000" w:themeColor="text1"/>
          <w:sz w:val="22"/>
        </w:rPr>
        <w:t>*</w:t>
      </w:r>
      <w:r w:rsidR="000C695C">
        <w:rPr>
          <w:i/>
          <w:color w:val="000000" w:themeColor="text1"/>
          <w:sz w:val="22"/>
        </w:rPr>
        <w:t>L</w:t>
      </w:r>
      <w:r w:rsidR="00465A56">
        <w:rPr>
          <w:i/>
          <w:color w:val="000000" w:themeColor="text1"/>
          <w:sz w:val="22"/>
        </w:rPr>
        <w:t xml:space="preserve">os datos recogidos en el manifiesto son a fecha de </w:t>
      </w:r>
      <w:r w:rsidR="000C695C">
        <w:rPr>
          <w:i/>
          <w:color w:val="000000" w:themeColor="text1"/>
          <w:sz w:val="22"/>
        </w:rPr>
        <w:t>8 de noviembre 2023.</w:t>
      </w:r>
      <w:r w:rsidRPr="00E46418">
        <w:rPr>
          <w:i/>
          <w:color w:val="000000" w:themeColor="text1"/>
          <w:sz w:val="22"/>
        </w:rPr>
        <w:t xml:space="preserve"> </w:t>
      </w:r>
    </w:p>
    <w:p w:rsidR="00E46418" w:rsidRPr="00E46418" w:rsidRDefault="00E46418">
      <w:pPr>
        <w:spacing w:after="0" w:line="259" w:lineRule="auto"/>
        <w:ind w:firstLine="0"/>
        <w:jc w:val="left"/>
        <w:rPr>
          <w:i/>
          <w:color w:val="000000" w:themeColor="text1"/>
          <w:sz w:val="22"/>
        </w:rPr>
      </w:pPr>
    </w:p>
    <w:sectPr w:rsidR="00E46418" w:rsidRPr="00E46418" w:rsidSect="0053302D">
      <w:pgSz w:w="11906" w:h="16838"/>
      <w:pgMar w:top="1462" w:right="1691" w:bottom="1700" w:left="1702"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21C4D"/>
    <w:multiLevelType w:val="hybridMultilevel"/>
    <w:tmpl w:val="F15E38D4"/>
    <w:lvl w:ilvl="0" w:tplc="910CF3FC">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88E85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C0C459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8102D5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BC206A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9DC9DF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C80F8F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0DC99F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D05E4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64181"/>
    <w:rsid w:val="000011D9"/>
    <w:rsid w:val="00053ACD"/>
    <w:rsid w:val="00083DE2"/>
    <w:rsid w:val="00086C34"/>
    <w:rsid w:val="000C07D2"/>
    <w:rsid w:val="000C32C8"/>
    <w:rsid w:val="000C3671"/>
    <w:rsid w:val="000C695C"/>
    <w:rsid w:val="000D7767"/>
    <w:rsid w:val="000E0D46"/>
    <w:rsid w:val="000F7085"/>
    <w:rsid w:val="00122B6E"/>
    <w:rsid w:val="00164161"/>
    <w:rsid w:val="00175D72"/>
    <w:rsid w:val="00185613"/>
    <w:rsid w:val="00185CF7"/>
    <w:rsid w:val="001874D3"/>
    <w:rsid w:val="001D22DB"/>
    <w:rsid w:val="001E0657"/>
    <w:rsid w:val="00267898"/>
    <w:rsid w:val="00280F98"/>
    <w:rsid w:val="00285420"/>
    <w:rsid w:val="002D1527"/>
    <w:rsid w:val="002D5C73"/>
    <w:rsid w:val="00351546"/>
    <w:rsid w:val="0035504B"/>
    <w:rsid w:val="00385D29"/>
    <w:rsid w:val="003C5EFF"/>
    <w:rsid w:val="003D016A"/>
    <w:rsid w:val="00413C79"/>
    <w:rsid w:val="00430ACA"/>
    <w:rsid w:val="00465A56"/>
    <w:rsid w:val="00473DDC"/>
    <w:rsid w:val="00475F57"/>
    <w:rsid w:val="00476D5B"/>
    <w:rsid w:val="004942B0"/>
    <w:rsid w:val="004C08B4"/>
    <w:rsid w:val="004D3519"/>
    <w:rsid w:val="004E3621"/>
    <w:rsid w:val="0053302D"/>
    <w:rsid w:val="00533FFC"/>
    <w:rsid w:val="005661C3"/>
    <w:rsid w:val="005C30C8"/>
    <w:rsid w:val="006469EC"/>
    <w:rsid w:val="00686EF2"/>
    <w:rsid w:val="006973D4"/>
    <w:rsid w:val="006B707F"/>
    <w:rsid w:val="006F37C2"/>
    <w:rsid w:val="00703CC0"/>
    <w:rsid w:val="0070702D"/>
    <w:rsid w:val="007B05C8"/>
    <w:rsid w:val="008417E1"/>
    <w:rsid w:val="00894935"/>
    <w:rsid w:val="008A1188"/>
    <w:rsid w:val="008E7363"/>
    <w:rsid w:val="008F7E46"/>
    <w:rsid w:val="009517E8"/>
    <w:rsid w:val="009B0D8C"/>
    <w:rsid w:val="009B4C92"/>
    <w:rsid w:val="00A661A4"/>
    <w:rsid w:val="00AC5A13"/>
    <w:rsid w:val="00BB3ACF"/>
    <w:rsid w:val="00BF5DD6"/>
    <w:rsid w:val="00C0340D"/>
    <w:rsid w:val="00C2070C"/>
    <w:rsid w:val="00C54345"/>
    <w:rsid w:val="00C64181"/>
    <w:rsid w:val="00CB04A5"/>
    <w:rsid w:val="00CC39F2"/>
    <w:rsid w:val="00D56253"/>
    <w:rsid w:val="00DD3BBF"/>
    <w:rsid w:val="00DF72C8"/>
    <w:rsid w:val="00E00252"/>
    <w:rsid w:val="00E11C3D"/>
    <w:rsid w:val="00E46418"/>
    <w:rsid w:val="00E64FF0"/>
    <w:rsid w:val="00ED029D"/>
    <w:rsid w:val="00ED5CC4"/>
    <w:rsid w:val="00F67D28"/>
    <w:rsid w:val="00FE0D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2D"/>
    <w:pPr>
      <w:spacing w:after="171" w:line="249" w:lineRule="auto"/>
      <w:ind w:firstLine="698"/>
      <w:jc w:val="both"/>
    </w:pPr>
    <w:rPr>
      <w:rFonts w:ascii="Calibri" w:eastAsia="Calibri" w:hAnsi="Calibri" w:cs="Calibri"/>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6416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4161"/>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943</Words>
  <Characters>5189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Gonzalez Maria Dolores</dc:creator>
  <cp:lastModifiedBy>usuario</cp:lastModifiedBy>
  <cp:revision>4</cp:revision>
  <cp:lastPrinted>2023-10-04T08:45:00Z</cp:lastPrinted>
  <dcterms:created xsi:type="dcterms:W3CDTF">2023-11-17T10:46:00Z</dcterms:created>
  <dcterms:modified xsi:type="dcterms:W3CDTF">2023-11-17T11:03:00Z</dcterms:modified>
</cp:coreProperties>
</file>